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8D66" w14:textId="56009268" w:rsidR="00E50792" w:rsidRPr="00C30EA6" w:rsidRDefault="00095604" w:rsidP="00095604">
      <w:pPr>
        <w:pStyle w:val="Heading1"/>
        <w:jc w:val="center"/>
        <w:rPr>
          <w:sz w:val="16"/>
          <w:szCs w:val="16"/>
        </w:rPr>
      </w:pPr>
      <w:r>
        <w:t>Defining and Implementing Academic Rigor: A 5-Year Update</w:t>
      </w:r>
    </w:p>
    <w:p w14:paraId="1CBD3512" w14:textId="4EC74FEA" w:rsidR="00095604" w:rsidRDefault="00095604" w:rsidP="00C12169">
      <w:pPr>
        <w:rPr>
          <w:b/>
          <w:bCs/>
        </w:rPr>
      </w:pPr>
      <w:r w:rsidRPr="00095604">
        <w:rPr>
          <w:b/>
          <w:bCs/>
        </w:rPr>
        <w:t>Dr. Andria Schwegler, Associate Professor of Psychology, Texas A&amp;M University-Central Texas</w:t>
      </w:r>
    </w:p>
    <w:p w14:paraId="4B507BDD" w14:textId="77777777" w:rsidR="00C30EA6" w:rsidRPr="00C30EA6" w:rsidRDefault="00C30EA6" w:rsidP="00C12169">
      <w:pPr>
        <w:rPr>
          <w:b/>
          <w:bCs/>
          <w:sz w:val="8"/>
          <w:szCs w:val="8"/>
        </w:rPr>
      </w:pPr>
    </w:p>
    <w:p w14:paraId="70DBA458" w14:textId="77777777" w:rsidR="00095604" w:rsidRDefault="00095604">
      <w:pPr>
        <w:pStyle w:val="Heading2"/>
      </w:pPr>
      <w:r>
        <w:t>Welcoming Newcomers to the Conversation</w:t>
      </w:r>
    </w:p>
    <w:p w14:paraId="1C345A21" w14:textId="57C908CF" w:rsidR="00095604" w:rsidRPr="00095604" w:rsidRDefault="00095604" w:rsidP="00095604">
      <w:r>
        <w:t xml:space="preserve">Though academic rigor is widely used to describe a positive characteristic of educational programs, it has been hard to define. Some have recommended abandoning the term, but its persistence in the lexicon demands clarifying its meaning. </w:t>
      </w:r>
      <w:r w:rsidR="00E64873">
        <w:t xml:space="preserve">Grounded in research in education and cognitive psychology, academic rigor is defined as </w:t>
      </w:r>
      <w:r w:rsidR="00C12169">
        <w:t>“</w:t>
      </w:r>
      <w:r w:rsidR="00E64873" w:rsidRPr="00E64873">
        <w:rPr>
          <w:i/>
          <w:iCs/>
        </w:rPr>
        <w:t>i</w:t>
      </w:r>
      <w:r w:rsidR="00E64873" w:rsidRPr="00E64873">
        <w:rPr>
          <w:i/>
          <w:iCs/>
        </w:rPr>
        <w:t>ntentionally crafted and sequenced learning activities and interactions that are supported by research and provide students the opportunity to create and demonstrate their own understanding or interpretation of information</w:t>
      </w:r>
      <w:r w:rsidR="00E64873">
        <w:rPr>
          <w:i/>
          <w:iCs/>
        </w:rPr>
        <w:t xml:space="preserve"> and support it with evidence</w:t>
      </w:r>
      <w:r w:rsidR="00C12169">
        <w:rPr>
          <w:i/>
          <w:iCs/>
        </w:rPr>
        <w:t>”</w:t>
      </w:r>
      <w:r w:rsidR="00E64873" w:rsidRPr="00E850FF">
        <w:t xml:space="preserve"> </w:t>
      </w:r>
      <w:r w:rsidR="00E64873">
        <w:t>(Schwegler, 2019a, p. 16). It is an ongoing process of setting the conditions to promote learning</w:t>
      </w:r>
      <w:r w:rsidR="00C30EA6">
        <w:t xml:space="preserve"> in the learning context</w:t>
      </w:r>
      <w:r w:rsidR="00C15850">
        <w:t xml:space="preserve">; it is </w:t>
      </w:r>
      <w:r w:rsidR="001E415B">
        <w:t>not a static artifact</w:t>
      </w:r>
      <w:r w:rsidR="00E3755D">
        <w:t>,</w:t>
      </w:r>
      <w:r w:rsidR="00C15850">
        <w:t xml:space="preserve"> and </w:t>
      </w:r>
      <w:r w:rsidR="00E3755D">
        <w:t xml:space="preserve">it </w:t>
      </w:r>
      <w:r w:rsidR="001E415B">
        <w:t>cannot</w:t>
      </w:r>
      <w:r w:rsidR="00C30EA6">
        <w:t xml:space="preserve"> be </w:t>
      </w:r>
      <w:r w:rsidR="001E415B">
        <w:t xml:space="preserve">substituted with </w:t>
      </w:r>
      <w:r w:rsidR="00C30EA6">
        <w:t>the preexisting qualities students bring with them</w:t>
      </w:r>
      <w:r w:rsidR="00E64873">
        <w:t xml:space="preserve">. </w:t>
      </w:r>
    </w:p>
    <w:p w14:paraId="105A3B56" w14:textId="77777777" w:rsidR="00095604" w:rsidRDefault="00095604">
      <w:pPr>
        <w:pStyle w:val="Heading2"/>
      </w:pPr>
      <w:r>
        <w:t>Checking-In on Impact</w:t>
      </w:r>
    </w:p>
    <w:p w14:paraId="796B8954" w14:textId="6F2B7D6B" w:rsidR="00095604" w:rsidRDefault="00E64873" w:rsidP="00095604">
      <w:r>
        <w:t xml:space="preserve">Five years after its publication, a review of its applications reveals that the definition has been leveraged by </w:t>
      </w:r>
      <w:r w:rsidR="00E65F57">
        <w:t xml:space="preserve">those in higher education seeking to improve teaching and learning. Applications range from local conversations about teaching philosophies, distinguishing teacher and student responsibilities, and assessment practices to broader conversations at other institutions about program standards, equitable teaching, universal design, and institution accreditation. These </w:t>
      </w:r>
      <w:r w:rsidR="000C4661">
        <w:t xml:space="preserve">applications provide </w:t>
      </w:r>
      <w:r w:rsidR="00E65F57">
        <w:t xml:space="preserve">examples </w:t>
      </w:r>
      <w:r w:rsidR="000C4661">
        <w:t xml:space="preserve">regarding how the definition </w:t>
      </w:r>
      <w:r w:rsidR="00E3755D">
        <w:t xml:space="preserve">may be meaningfully </w:t>
      </w:r>
      <w:r w:rsidR="00CB3E6F">
        <w:t>used</w:t>
      </w:r>
      <w:r w:rsidR="00E3755D">
        <w:t xml:space="preserve"> to address needs at other </w:t>
      </w:r>
      <w:r w:rsidR="000C4661">
        <w:t xml:space="preserve">institutions. </w:t>
      </w:r>
    </w:p>
    <w:p w14:paraId="41ADE8BE" w14:textId="77777777" w:rsidR="00095604" w:rsidRDefault="00095604">
      <w:pPr>
        <w:pStyle w:val="Heading2"/>
      </w:pPr>
      <w:r>
        <w:t>Applying Concepts for Continuous Improvement</w:t>
      </w:r>
    </w:p>
    <w:p w14:paraId="2ED8A45A" w14:textId="6EFD72F3" w:rsidR="00095604" w:rsidRPr="00095604" w:rsidRDefault="000C4661" w:rsidP="00095604">
      <w:r>
        <w:t>Beyond these examples, additional work is needed in applying the definition to challenges teachers and learners continue to face. The definition may be usefully extended to bolstering the efficacy of co-curricular support, faculty-student engagement of content, the scholarship of teaching and learning, uses of assessment data, and professional development planning</w:t>
      </w:r>
      <w:r w:rsidR="00E3755D">
        <w:t xml:space="preserve"> </w:t>
      </w:r>
      <w:r w:rsidR="00E3755D">
        <w:t>(Schwegler, 2019b; Schwegler, 2019c)</w:t>
      </w:r>
      <w:r>
        <w:t xml:space="preserve">. </w:t>
      </w:r>
    </w:p>
    <w:p w14:paraId="1F19E73F" w14:textId="77777777" w:rsidR="00E64873" w:rsidRDefault="00095604">
      <w:pPr>
        <w:pStyle w:val="Heading2"/>
      </w:pPr>
      <w:r>
        <w:t>Inviting Critical Review and Revision</w:t>
      </w:r>
      <w:r w:rsidR="00E64873">
        <w:t xml:space="preserve"> </w:t>
      </w:r>
    </w:p>
    <w:p w14:paraId="0D748CBF" w14:textId="4C852BBF" w:rsidR="00C12169" w:rsidRPr="00C12169" w:rsidRDefault="00C12169" w:rsidP="00C12169">
      <w:r>
        <w:t>Through an application, review, and revision process not only will the conditions in the learning context be improved to promote learning, the definition of academic rigor itself can be improved as well.</w:t>
      </w:r>
      <w:r w:rsidR="00C30EA6">
        <w:t xml:space="preserve"> Examples of applications, limitations, research, and revisions are welcomed:  </w:t>
      </w:r>
      <w:hyperlink r:id="rId7" w:history="1">
        <w:r w:rsidR="00C30EA6" w:rsidRPr="00672973">
          <w:rPr>
            <w:rStyle w:val="Hyperlink"/>
          </w:rPr>
          <w:t>schwegler@tamuct.edu</w:t>
        </w:r>
      </w:hyperlink>
      <w:r w:rsidR="00C30EA6">
        <w:t xml:space="preserve"> </w:t>
      </w:r>
    </w:p>
    <w:p w14:paraId="480CAD5E" w14:textId="59A1612D" w:rsidR="00E50792" w:rsidRDefault="00E64873">
      <w:pPr>
        <w:pStyle w:val="Heading2"/>
      </w:pPr>
      <w:r>
        <w:lastRenderedPageBreak/>
        <w:t>References</w:t>
      </w:r>
    </w:p>
    <w:p w14:paraId="4591B633" w14:textId="77777777" w:rsidR="00C12169" w:rsidRPr="00C12169" w:rsidRDefault="00C12169" w:rsidP="00C12169">
      <w:pPr>
        <w:pStyle w:val="Heading3"/>
        <w:ind w:left="720" w:hanging="720"/>
        <w:rPr>
          <w:b w:val="0"/>
          <w:bCs w:val="0"/>
        </w:rPr>
      </w:pPr>
      <w:r w:rsidRPr="00C12169">
        <w:rPr>
          <w:b w:val="0"/>
          <w:bCs w:val="0"/>
        </w:rPr>
        <w:t xml:space="preserve">Schwegler, A. F. (2019a). Academic rigor: A comprehensive definition. Quality Matters. </w:t>
      </w:r>
      <w:hyperlink r:id="rId8" w:history="1">
        <w:r w:rsidRPr="00C12169">
          <w:rPr>
            <w:rStyle w:val="Hyperlink"/>
            <w:b w:val="0"/>
            <w:bCs w:val="0"/>
          </w:rPr>
          <w:t>https://www.qualitymatters.org/qa-resources/resource-center/articles-resources/</w:t>
        </w:r>
      </w:hyperlink>
      <w:hyperlink r:id="rId9" w:history="1">
        <w:r w:rsidRPr="00C12169">
          <w:rPr>
            <w:rStyle w:val="Hyperlink"/>
            <w:b w:val="0"/>
            <w:bCs w:val="0"/>
          </w:rPr>
          <w:t>academic-rigor-white-paper-part-one</w:t>
        </w:r>
      </w:hyperlink>
    </w:p>
    <w:p w14:paraId="0207A942" w14:textId="77777777" w:rsidR="00C12169" w:rsidRPr="00C12169" w:rsidRDefault="00C12169" w:rsidP="00C12169">
      <w:pPr>
        <w:pStyle w:val="Heading3"/>
        <w:ind w:left="720" w:hanging="720"/>
        <w:rPr>
          <w:b w:val="0"/>
          <w:bCs w:val="0"/>
        </w:rPr>
      </w:pPr>
      <w:r w:rsidRPr="00C12169">
        <w:rPr>
          <w:b w:val="0"/>
          <w:bCs w:val="0"/>
        </w:rPr>
        <w:t xml:space="preserve">Schwegler, A. F. (2019b). Contextualizing academic rigor. Quality Matters. </w:t>
      </w:r>
      <w:hyperlink r:id="rId10" w:history="1">
        <w:r w:rsidRPr="00C12169">
          <w:rPr>
            <w:rStyle w:val="Hyperlink"/>
            <w:b w:val="0"/>
            <w:bCs w:val="0"/>
          </w:rPr>
          <w:t>https://www.qualitymatters.org/index.php/qa-resources/resource-center/articles-resources/academic-rigor-white-paper-part-two</w:t>
        </w:r>
      </w:hyperlink>
      <w:r w:rsidRPr="00C12169">
        <w:rPr>
          <w:b w:val="0"/>
          <w:bCs w:val="0"/>
        </w:rPr>
        <w:t xml:space="preserve"> </w:t>
      </w:r>
    </w:p>
    <w:p w14:paraId="7AF4FD93" w14:textId="77777777" w:rsidR="00C12169" w:rsidRPr="00C12169" w:rsidRDefault="00C12169" w:rsidP="00C12169">
      <w:pPr>
        <w:pStyle w:val="Heading3"/>
        <w:ind w:left="720" w:hanging="720"/>
        <w:rPr>
          <w:b w:val="0"/>
          <w:bCs w:val="0"/>
        </w:rPr>
      </w:pPr>
      <w:r w:rsidRPr="00C12169">
        <w:rPr>
          <w:b w:val="0"/>
          <w:bCs w:val="0"/>
        </w:rPr>
        <w:t xml:space="preserve">Schwegler, A. F. (2019c). Aligning institutional processes to support academic rigor. Quality Matters. </w:t>
      </w:r>
      <w:hyperlink r:id="rId11" w:history="1">
        <w:r w:rsidRPr="00C12169">
          <w:rPr>
            <w:rStyle w:val="Hyperlink"/>
            <w:b w:val="0"/>
            <w:bCs w:val="0"/>
          </w:rPr>
          <w:t>https://www.qualitymatters.org/index.php/qa-resources/resource-center/articles-resources/academic-rigor-white-paper-part-three</w:t>
        </w:r>
      </w:hyperlink>
      <w:r w:rsidRPr="00C12169">
        <w:rPr>
          <w:b w:val="0"/>
          <w:bCs w:val="0"/>
        </w:rPr>
        <w:t xml:space="preserve"> </w:t>
      </w:r>
    </w:p>
    <w:p w14:paraId="0B832763" w14:textId="77777777" w:rsidR="00E50792" w:rsidRDefault="00E50792">
      <w:bookmarkStart w:id="0" w:name="_heading=h.gjdgxs" w:colFirst="0" w:colLast="0"/>
      <w:bookmarkEnd w:id="0"/>
    </w:p>
    <w:sectPr w:rsidR="00E50792">
      <w:headerReference w:type="default" r:id="rId12"/>
      <w:footerReference w:type="even" r:id="rId13"/>
      <w:footerReference w:type="default" r:id="rId14"/>
      <w:pgSz w:w="12240" w:h="15840"/>
      <w:pgMar w:top="1973" w:right="1440" w:bottom="1440" w:left="144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11D1" w14:textId="77777777" w:rsidR="00DB385E" w:rsidRDefault="00DB385E">
      <w:pPr>
        <w:spacing w:after="0" w:line="240" w:lineRule="auto"/>
      </w:pPr>
      <w:r>
        <w:separator/>
      </w:r>
    </w:p>
  </w:endnote>
  <w:endnote w:type="continuationSeparator" w:id="0">
    <w:p w14:paraId="29414B34" w14:textId="77777777" w:rsidR="00DB385E" w:rsidRDefault="00DB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A4C3" w14:textId="77777777" w:rsidR="00E50792" w:rsidRDefault="00000000">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9AB96A" w14:textId="77777777" w:rsidR="00E50792" w:rsidRDefault="00E50792">
    <w:pPr>
      <w:pBdr>
        <w:top w:val="nil"/>
        <w:left w:val="nil"/>
        <w:bottom w:val="nil"/>
        <w:right w:val="nil"/>
        <w:between w:val="nil"/>
      </w:pBdr>
      <w:tabs>
        <w:tab w:val="center" w:pos="4320"/>
        <w:tab w:val="right" w:pos="8640"/>
      </w:tabs>
      <w:spacing w:after="0" w:line="240" w:lineRule="auto"/>
      <w:ind w:right="360"/>
      <w:rPr>
        <w:color w:val="000000"/>
      </w:rPr>
    </w:pPr>
  </w:p>
  <w:p w14:paraId="27C7D28E" w14:textId="77777777" w:rsidR="00E50792" w:rsidRDefault="00E50792">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CB30" w14:textId="77777777" w:rsidR="00E50792" w:rsidRDefault="00000000">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5604">
      <w:rPr>
        <w:noProof/>
        <w:color w:val="000000"/>
      </w:rPr>
      <w:t>1</w:t>
    </w:r>
    <w:r>
      <w:rPr>
        <w:color w:val="000000"/>
      </w:rPr>
      <w:fldChar w:fldCharType="end"/>
    </w:r>
  </w:p>
  <w:p w14:paraId="2031F31D" w14:textId="77777777" w:rsidR="00E50792" w:rsidRDefault="00000000">
    <w:pPr>
      <w:pBdr>
        <w:top w:val="nil"/>
        <w:left w:val="nil"/>
        <w:bottom w:val="nil"/>
        <w:right w:val="nil"/>
        <w:between w:val="nil"/>
      </w:pBdr>
      <w:tabs>
        <w:tab w:val="center" w:pos="4320"/>
        <w:tab w:val="right" w:pos="8640"/>
      </w:tabs>
      <w:spacing w:after="0" w:line="240" w:lineRule="auto"/>
      <w:rPr>
        <w:color w:val="000000"/>
        <w:sz w:val="22"/>
        <w:szCs w:val="22"/>
      </w:rPr>
    </w:pPr>
    <w:r>
      <w:rPr>
        <w:sz w:val="22"/>
        <w:szCs w:val="22"/>
      </w:rPr>
      <w:t>2/16/24</w:t>
    </w:r>
    <w:r>
      <w:rPr>
        <w:color w:val="000000"/>
        <w:sz w:val="22"/>
        <w:szCs w:val="22"/>
      </w:rPr>
      <w:tab/>
      <w:t>1997 Annapolis Exchange Parkway, Suite 300, Annapolis, MD 21401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DDF5" w14:textId="77777777" w:rsidR="00DB385E" w:rsidRDefault="00DB385E">
      <w:pPr>
        <w:spacing w:after="0" w:line="240" w:lineRule="auto"/>
      </w:pPr>
      <w:r>
        <w:separator/>
      </w:r>
    </w:p>
  </w:footnote>
  <w:footnote w:type="continuationSeparator" w:id="0">
    <w:p w14:paraId="40CC8AC6" w14:textId="77777777" w:rsidR="00DB385E" w:rsidRDefault="00DB3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5A59" w14:textId="77777777" w:rsidR="00E50792" w:rsidRDefault="00000000">
    <w:pPr>
      <w:pBdr>
        <w:top w:val="nil"/>
        <w:left w:val="nil"/>
        <w:bottom w:val="nil"/>
        <w:right w:val="nil"/>
        <w:between w:val="nil"/>
      </w:pBdr>
      <w:tabs>
        <w:tab w:val="center" w:pos="4320"/>
        <w:tab w:val="right" w:pos="8640"/>
      </w:tabs>
      <w:spacing w:after="0" w:line="240" w:lineRule="auto"/>
      <w:rPr>
        <w:color w:val="000000"/>
        <w:sz w:val="10"/>
        <w:szCs w:val="10"/>
      </w:rPr>
    </w:pPr>
    <w:r>
      <w:rPr>
        <w:noProof/>
      </w:rPr>
      <mc:AlternateContent>
        <mc:Choice Requires="wpg">
          <w:drawing>
            <wp:anchor distT="0" distB="0" distL="114300" distR="114300" simplePos="0" relativeHeight="251658240" behindDoc="0" locked="0" layoutInCell="1" hidden="0" allowOverlap="1" wp14:anchorId="6F29657E" wp14:editId="222783D8">
              <wp:simplePos x="0" y="0"/>
              <wp:positionH relativeFrom="column">
                <wp:posOffset>4749800</wp:posOffset>
              </wp:positionH>
              <wp:positionV relativeFrom="paragraph">
                <wp:posOffset>38100</wp:posOffset>
              </wp:positionV>
              <wp:extent cx="1925320" cy="1216660"/>
              <wp:effectExtent l="0" t="0" r="0" b="0"/>
              <wp:wrapNone/>
              <wp:docPr id="7" name="Rectangle 7"/>
              <wp:cNvGraphicFramePr/>
              <a:graphic xmlns:a="http://schemas.openxmlformats.org/drawingml/2006/main">
                <a:graphicData uri="http://schemas.microsoft.com/office/word/2010/wordprocessingShape">
                  <wps:wsp>
                    <wps:cNvSpPr/>
                    <wps:spPr>
                      <a:xfrm>
                        <a:off x="4408740" y="3197070"/>
                        <a:ext cx="1874520" cy="1165860"/>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51CAAAB8" w14:textId="77777777" w:rsidR="00E50792" w:rsidRDefault="00E5079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38100</wp:posOffset>
              </wp:positionV>
              <wp:extent cx="1925320" cy="121666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25320" cy="121666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0F9ACB0" wp14:editId="6562D71E">
          <wp:simplePos x="0" y="0"/>
          <wp:positionH relativeFrom="column">
            <wp:posOffset>-914398</wp:posOffset>
          </wp:positionH>
          <wp:positionV relativeFrom="paragraph">
            <wp:posOffset>0</wp:posOffset>
          </wp:positionV>
          <wp:extent cx="7773212" cy="1216152"/>
          <wp:effectExtent l="0" t="0" r="0" b="0"/>
          <wp:wrapSquare wrapText="bothSides" distT="0" distB="0" distL="114300" distR="114300"/>
          <wp:docPr id="8" name="image1.jpg" descr="QM Quality Matters"/>
          <wp:cNvGraphicFramePr/>
          <a:graphic xmlns:a="http://schemas.openxmlformats.org/drawingml/2006/main">
            <a:graphicData uri="http://schemas.openxmlformats.org/drawingml/2006/picture">
              <pic:pic xmlns:pic="http://schemas.openxmlformats.org/drawingml/2006/picture">
                <pic:nvPicPr>
                  <pic:cNvPr id="0" name="image1.jpg" descr="QM Quality Matters"/>
                  <pic:cNvPicPr preferRelativeResize="0"/>
                </pic:nvPicPr>
                <pic:blipFill>
                  <a:blip r:embed="rId2"/>
                  <a:srcRect/>
                  <a:stretch>
                    <a:fillRect/>
                  </a:stretch>
                </pic:blipFill>
                <pic:spPr>
                  <a:xfrm>
                    <a:off x="0" y="0"/>
                    <a:ext cx="7773212" cy="1216152"/>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BE38B6B" wp14:editId="03684278">
          <wp:simplePos x="0" y="0"/>
          <wp:positionH relativeFrom="column">
            <wp:posOffset>4880610</wp:posOffset>
          </wp:positionH>
          <wp:positionV relativeFrom="paragraph">
            <wp:posOffset>125729</wp:posOffset>
          </wp:positionV>
          <wp:extent cx="1670050" cy="1057698"/>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670050" cy="10576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92"/>
    <w:rsid w:val="00095604"/>
    <w:rsid w:val="000C4661"/>
    <w:rsid w:val="001E415B"/>
    <w:rsid w:val="00C12169"/>
    <w:rsid w:val="00C15850"/>
    <w:rsid w:val="00C30EA6"/>
    <w:rsid w:val="00CB3E6F"/>
    <w:rsid w:val="00DB385E"/>
    <w:rsid w:val="00E3755D"/>
    <w:rsid w:val="00E50792"/>
    <w:rsid w:val="00E64873"/>
    <w:rsid w:val="00E6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1682"/>
  <w15:docId w15:val="{B91D9FE2-16CA-435E-A2B2-18B65451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38"/>
  </w:style>
  <w:style w:type="paragraph" w:styleId="Heading1">
    <w:name w:val="heading 1"/>
    <w:basedOn w:val="Normal"/>
    <w:next w:val="Normal"/>
    <w:link w:val="Heading1Char"/>
    <w:uiPriority w:val="9"/>
    <w:qFormat/>
    <w:rsid w:val="007614AE"/>
    <w:pPr>
      <w:keepNext/>
      <w:keepLines/>
      <w:spacing w:before="240" w:after="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614AE"/>
    <w:pPr>
      <w:keepNext/>
      <w:keepLines/>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614AE"/>
    <w:pPr>
      <w:keepNext/>
      <w:keepLines/>
      <w:spacing w:before="200" w:after="120" w:line="240" w:lineRule="auto"/>
      <w:outlineLvl w:val="2"/>
    </w:pPr>
    <w:rPr>
      <w:rFonts w:eastAsiaTheme="majorEastAsia" w:cstheme="majorBidi"/>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14AE"/>
    <w:rPr>
      <w:rFonts w:eastAsiaTheme="majorEastAsia" w:cstheme="majorBidi"/>
      <w:b/>
      <w:bCs/>
      <w:sz w:val="32"/>
      <w:szCs w:val="28"/>
    </w:rPr>
  </w:style>
  <w:style w:type="character" w:customStyle="1" w:styleId="Heading2Char">
    <w:name w:val="Heading 2 Char"/>
    <w:basedOn w:val="DefaultParagraphFont"/>
    <w:link w:val="Heading2"/>
    <w:uiPriority w:val="9"/>
    <w:rsid w:val="007614AE"/>
    <w:rPr>
      <w:rFonts w:eastAsiaTheme="majorEastAsia" w:cstheme="majorBidi"/>
      <w:b/>
      <w:bCs/>
      <w:sz w:val="28"/>
      <w:szCs w:val="26"/>
    </w:rPr>
  </w:style>
  <w:style w:type="character" w:customStyle="1" w:styleId="Heading3Char">
    <w:name w:val="Heading 3 Char"/>
    <w:basedOn w:val="DefaultParagraphFont"/>
    <w:link w:val="Heading3"/>
    <w:uiPriority w:val="9"/>
    <w:rsid w:val="007614AE"/>
    <w:rPr>
      <w:rFonts w:eastAsiaTheme="majorEastAsia" w:cstheme="majorBidi"/>
      <w:b/>
      <w:bCs/>
      <w:sz w:val="24"/>
    </w:rPr>
  </w:style>
  <w:style w:type="paragraph" w:styleId="Header">
    <w:name w:val="header"/>
    <w:basedOn w:val="Normal"/>
    <w:link w:val="HeaderChar"/>
    <w:uiPriority w:val="99"/>
    <w:unhideWhenUsed/>
    <w:rsid w:val="008813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321"/>
  </w:style>
  <w:style w:type="paragraph" w:styleId="Footer">
    <w:name w:val="footer"/>
    <w:basedOn w:val="Normal"/>
    <w:link w:val="FooterChar"/>
    <w:uiPriority w:val="99"/>
    <w:unhideWhenUsed/>
    <w:rsid w:val="008813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321"/>
  </w:style>
  <w:style w:type="paragraph" w:styleId="BalloonText">
    <w:name w:val="Balloon Text"/>
    <w:basedOn w:val="Normal"/>
    <w:link w:val="BalloonTextChar"/>
    <w:uiPriority w:val="99"/>
    <w:semiHidden/>
    <w:unhideWhenUsed/>
    <w:rsid w:val="008813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1321"/>
    <w:rPr>
      <w:rFonts w:ascii="Lucida Grande" w:hAnsi="Lucida Grande"/>
      <w:sz w:val="18"/>
      <w:szCs w:val="18"/>
    </w:rPr>
  </w:style>
  <w:style w:type="character" w:styleId="PageNumber">
    <w:name w:val="page number"/>
    <w:basedOn w:val="DefaultParagraphFont"/>
    <w:uiPriority w:val="99"/>
    <w:semiHidden/>
    <w:unhideWhenUsed/>
    <w:rsid w:val="00F06530"/>
  </w:style>
  <w:style w:type="character" w:customStyle="1" w:styleId="apple-style-span">
    <w:name w:val="apple-style-span"/>
    <w:basedOn w:val="DefaultParagraphFont"/>
    <w:rsid w:val="00E2573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2169"/>
    <w:rPr>
      <w:color w:val="0000FF" w:themeColor="hyperlink"/>
      <w:u w:val="single"/>
    </w:rPr>
  </w:style>
  <w:style w:type="character" w:styleId="UnresolvedMention">
    <w:name w:val="Unresolved Mention"/>
    <w:basedOn w:val="DefaultParagraphFont"/>
    <w:uiPriority w:val="99"/>
    <w:semiHidden/>
    <w:unhideWhenUsed/>
    <w:rsid w:val="00C1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4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alitymatters.org/qa-resources/resource-center/articles-resources/academic-rigor-white-paper-part-o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wegler@tamuct.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qualitymatters.org/index.php/qa-resources/resource-center/articles-resources/academic-rigor-white-paper-part-thr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ualitymatters.org/index.php/qa-resources/resource-center/articles-resources/academic-rigor-white-paper-part-two" TargetMode="External"/><Relationship Id="rId4" Type="http://schemas.openxmlformats.org/officeDocument/2006/relationships/webSettings" Target="webSettings.xml"/><Relationship Id="rId9" Type="http://schemas.openxmlformats.org/officeDocument/2006/relationships/hyperlink" Target="https://www.qualitymatters.org/qa-resources/resource-center/articles-resources/academic-rigor-white-paper-part-o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uZYbs68wdQ71Z+iWvjf+/iCeg==">CgMxLjAyCGguZ2pkZ3hzOAByITFha1RMdHRqWkM0MGdIRUVsSlFJdWJETmpWaWRaOEw0ZQ==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520</Words>
  <Characters>3142</Characters>
  <Application>Microsoft Office Word</Application>
  <DocSecurity>0</DocSecurity>
  <Lines>45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Simunich</dc:creator>
  <cp:lastModifiedBy>Schwegler, Andria F</cp:lastModifiedBy>
  <cp:revision>5</cp:revision>
  <dcterms:created xsi:type="dcterms:W3CDTF">2024-02-10T16:40:00Z</dcterms:created>
  <dcterms:modified xsi:type="dcterms:W3CDTF">2024-02-10T16:59:00Z</dcterms:modified>
</cp:coreProperties>
</file>